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C85" w:rsidRDefault="00F22DB3">
      <w:r>
        <w:rPr>
          <w:noProof/>
        </w:rPr>
        <w:drawing>
          <wp:inline distT="0" distB="0" distL="0" distR="0">
            <wp:extent cx="8836563" cy="893299"/>
            <wp:effectExtent l="19050" t="0" r="2637" b="0"/>
            <wp:docPr id="1" name="Picture 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007" cy="89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DB3" w:rsidRPr="00E17CD4" w:rsidRDefault="00E17CD4" w:rsidP="00563E10">
      <w:pPr>
        <w:tabs>
          <w:tab w:val="left" w:pos="7510"/>
        </w:tabs>
      </w:pPr>
      <w:r>
        <w:rPr>
          <w:rFonts w:ascii="Comic Sans MS" w:eastAsia="Calibri" w:hAnsi="Comic Sans MS" w:cs="Arial"/>
          <w:b/>
        </w:rPr>
        <w:t xml:space="preserve">      </w:t>
      </w:r>
      <w:r w:rsidR="00563E10" w:rsidRPr="00563E10">
        <w:rPr>
          <w:rFonts w:ascii="Comic Sans MS" w:eastAsia="Calibri" w:hAnsi="Comic Sans MS" w:cs="Arial"/>
          <w:b/>
          <w:u w:val="single"/>
        </w:rPr>
        <w:t>Article 26</w:t>
      </w:r>
      <w:r>
        <w:rPr>
          <w:rFonts w:ascii="Comic Sans MS" w:eastAsia="Calibri" w:hAnsi="Comic Sans MS" w:cs="Arial"/>
          <w:b/>
        </w:rPr>
        <w:t xml:space="preserve">           </w:t>
      </w:r>
      <w:r w:rsidR="00563E10">
        <w:rPr>
          <w:rFonts w:ascii="Comic Sans MS" w:eastAsia="Calibri" w:hAnsi="Comic Sans MS" w:cs="Arial"/>
          <w:b/>
        </w:rPr>
        <w:t xml:space="preserve">                            BORDEREAU DE PRIX DETAIL ESTIMATIF</w:t>
      </w:r>
    </w:p>
    <w:p w:rsidR="00F22DB3" w:rsidRDefault="00E17CD4" w:rsidP="00CD4F5B">
      <w:pPr>
        <w:rPr>
          <w:rFonts w:ascii="Comic Sans MS" w:eastAsia="Calibri" w:hAnsi="Comic Sans MS" w:cs="Arial"/>
          <w:bCs/>
        </w:rPr>
      </w:pPr>
      <w:r>
        <w:rPr>
          <w:rFonts w:ascii="Comic Sans MS" w:eastAsia="Calibri" w:hAnsi="Comic Sans MS" w:cs="Arial"/>
          <w:bCs/>
        </w:rPr>
        <w:t xml:space="preserve">                                      </w:t>
      </w:r>
      <w:r w:rsidR="00563E10">
        <w:rPr>
          <w:rFonts w:ascii="Comic Sans MS" w:eastAsia="Calibri" w:hAnsi="Comic Sans MS" w:cs="Arial"/>
          <w:bCs/>
        </w:rPr>
        <w:t xml:space="preserve">        </w:t>
      </w:r>
      <w:proofErr w:type="gramStart"/>
      <w:r w:rsidRPr="00903A04">
        <w:rPr>
          <w:rFonts w:ascii="Comic Sans MS" w:eastAsia="Calibri" w:hAnsi="Comic Sans MS" w:cs="Arial"/>
          <w:bCs/>
        </w:rPr>
        <w:t>achat</w:t>
      </w:r>
      <w:proofErr w:type="gramEnd"/>
      <w:r w:rsidRPr="00903A04">
        <w:rPr>
          <w:rFonts w:ascii="Comic Sans MS" w:eastAsia="Calibri" w:hAnsi="Comic Sans MS" w:cs="Arial"/>
          <w:bCs/>
        </w:rPr>
        <w:t xml:space="preserve"> </w:t>
      </w:r>
      <w:r>
        <w:rPr>
          <w:rFonts w:ascii="Comic Sans MS" w:eastAsia="Calibri" w:hAnsi="Comic Sans MS" w:cs="Arial"/>
          <w:bCs/>
        </w:rPr>
        <w:t>de fongible  de laboratoire  pour le district sanitaire de Larache.</w:t>
      </w:r>
    </w:p>
    <w:p w:rsidR="00CD4F5B" w:rsidRDefault="00CD4F5B" w:rsidP="00CD4F5B">
      <w:pPr>
        <w:jc w:val="center"/>
        <w:rPr>
          <w:rFonts w:ascii="Comic Sans MS" w:eastAsia="Calibri" w:hAnsi="Comic Sans MS" w:cs="Arial"/>
          <w:bCs/>
        </w:rPr>
      </w:pPr>
      <w:r>
        <w:rPr>
          <w:rFonts w:ascii="Comic Sans MS" w:eastAsia="Calibri" w:hAnsi="Comic Sans MS" w:cs="Arial"/>
          <w:bCs/>
        </w:rPr>
        <w:t>26/2026/ DSL/GST/TTA</w:t>
      </w:r>
    </w:p>
    <w:tbl>
      <w:tblPr>
        <w:tblW w:w="1318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740"/>
        <w:gridCol w:w="4800"/>
        <w:gridCol w:w="1040"/>
        <w:gridCol w:w="1320"/>
        <w:gridCol w:w="1320"/>
        <w:gridCol w:w="1320"/>
        <w:gridCol w:w="1320"/>
        <w:gridCol w:w="1320"/>
      </w:tblGrid>
      <w:tr w:rsidR="00F22DB3" w:rsidRPr="00F22DB3" w:rsidTr="00F22DB3">
        <w:trPr>
          <w:trHeight w:val="570"/>
        </w:trPr>
        <w:tc>
          <w:tcPr>
            <w:tcW w:w="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N° Prix</w:t>
            </w:r>
          </w:p>
        </w:tc>
        <w:tc>
          <w:tcPr>
            <w:tcW w:w="4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Désignation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Unité de mesure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Prix Unitaire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Quantité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Quantité Maximum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Prix total hors taxe minimum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8C0E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</w:t>
            </w:r>
            <w:r w:rsidR="008C0E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x </w:t>
            </w:r>
            <w:r w:rsidR="008C0E67"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</w:t>
            </w: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otal hors taxe Maximum</w:t>
            </w:r>
          </w:p>
        </w:tc>
      </w:tr>
      <w:tr w:rsidR="00F22DB3" w:rsidRPr="00F22DB3" w:rsidTr="00F22DB3">
        <w:trPr>
          <w:trHeight w:val="69"/>
        </w:trPr>
        <w:tc>
          <w:tcPr>
            <w:tcW w:w="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369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Tubes sous vide en verre EDTA 2.5 </w:t>
            </w: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701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Tubes sous vide en verre citrate pour hémostase 1.8 </w:t>
            </w: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683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Tubes pédiatriques sous vide en verre sec avec un activateur de la coagulation 4mL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396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Tubes sous vide en verre </w:t>
            </w: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citraté</w:t>
            </w:r>
            <w:proofErr w:type="spellEnd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pour VS 2.8 </w:t>
            </w: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557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Tubes sous vide en verre à l’</w:t>
            </w: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héparinate</w:t>
            </w:r>
            <w:proofErr w:type="spellEnd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de lithium 4 </w:t>
            </w: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693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Cupules pour test de la coagulation sur la CA-104 (SYSMEX)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1*500 avec carte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534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Cuvettes de réaction AU480 (BECKMANCOULTER)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31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Tube </w:t>
            </w: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eppendorf</w:t>
            </w:r>
            <w:proofErr w:type="spellEnd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1.5 </w:t>
            </w: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362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Micropipette réglable de 100-1000 µL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unité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41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Micropipette réglable de 20-200 µL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unité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402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Micropipette réglable de 5-20 µL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unité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408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Micropipette fixe de 1000 µL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unité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40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Tubes à hémolyse en plastique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31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Flacon ECBU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31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Cone</w:t>
            </w:r>
            <w:proofErr w:type="spellEnd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jaune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31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Cônes bleu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647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Lampe pour l’analyseur de biochimie AU 480 (BECKMANCOULTER)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unité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543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Lampe pour l’analyseur de biochimie BT-330 (BIOELABE)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unité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691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Cuvette pour l’analyseur de biochimie BT-330 (BIOELABE)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unité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41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Filtres pour station d’eau au480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unité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54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Microplaque TPHA  en 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unité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32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Pipette VS en plastique avec </w:t>
            </w: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nse</w:t>
            </w:r>
            <w:proofErr w:type="spellEnd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de</w:t>
            </w: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fermeture </w:t>
            </w: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</w:t>
            </w:r>
            <w:proofErr w:type="spellEnd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ré 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1*200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58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Electrode Na+ k+ cl-</w:t>
            </w: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 Et Electrode de </w:t>
            </w:r>
            <w:proofErr w:type="spellStart"/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reference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pack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300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Prix total Hors taxes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300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TVA 20%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22DB3" w:rsidRPr="00F22DB3" w:rsidTr="00F22DB3">
        <w:trPr>
          <w:trHeight w:val="300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22DB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Prix total TTC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DB3" w:rsidRPr="00F22DB3" w:rsidRDefault="00F22DB3" w:rsidP="00F22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:rsidR="00F22DB3" w:rsidRDefault="00F22DB3"/>
    <w:p w:rsidR="00F22DB3" w:rsidRDefault="00F22DB3"/>
    <w:sectPr w:rsidR="00F22DB3" w:rsidSect="00F22D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F22DB3"/>
    <w:rsid w:val="00297C85"/>
    <w:rsid w:val="00563E10"/>
    <w:rsid w:val="008C0E67"/>
    <w:rsid w:val="009F4E4F"/>
    <w:rsid w:val="00B664AD"/>
    <w:rsid w:val="00CD4F5B"/>
    <w:rsid w:val="00E17CD4"/>
    <w:rsid w:val="00F22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C8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22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2D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2026-09-30T13:24:00Z</dcterms:created>
  <dcterms:modified xsi:type="dcterms:W3CDTF">2026-09-30T16:27:00Z</dcterms:modified>
</cp:coreProperties>
</file>